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文件编号：WI-QC-001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进货检验作业指导书</w:t>
      </w:r>
    </w:p>
    <w:p/>
    <w:p>
      <w:pPr>
        <w:pStyle w:val="Heading1"/>
      </w:pPr>
      <w:r>
        <w:t>1. 目的</w:t>
      </w:r>
    </w:p>
    <w:p>
      <w:r>
        <w:t>规范进货检验操作，确保采购产品符合要求。</w:t>
      </w:r>
    </w:p>
    <w:p/>
    <w:p>
      <w:pPr>
        <w:pStyle w:val="Heading1"/>
      </w:pPr>
      <w:r>
        <w:t>2. 范围</w:t>
      </w:r>
    </w:p>
    <w:p>
      <w:r>
        <w:t>适用于所有采购原材料、零部件的进货检验。</w:t>
      </w:r>
    </w:p>
    <w:p/>
    <w:p>
      <w:pPr>
        <w:pStyle w:val="Heading1"/>
      </w:pPr>
      <w:r>
        <w:t>3. 检验工具</w:t>
      </w:r>
    </w:p>
    <w:p>
      <w:pPr>
        <w:pStyle w:val="ListBullet"/>
      </w:pPr>
      <w:r>
        <w:t>游标卡尺、千分尺、高度尺</w:t>
      </w:r>
    </w:p>
    <w:p>
      <w:pPr>
        <w:pStyle w:val="ListBullet"/>
      </w:pPr>
      <w:r>
        <w:t>硬度计、粗糙度仪</w:t>
      </w:r>
    </w:p>
    <w:p>
      <w:pPr>
        <w:pStyle w:val="ListBullet"/>
      </w:pPr>
      <w:r>
        <w:t>外观检查台、标准光源箱</w:t>
      </w:r>
    </w:p>
    <w:p>
      <w:pPr>
        <w:pStyle w:val="ListBullet"/>
      </w:pPr>
      <w:r>
        <w:t>通止规、样板</w:t>
      </w:r>
    </w:p>
    <w:p/>
    <w:p>
      <w:pPr>
        <w:pStyle w:val="Heading1"/>
      </w:pPr>
      <w:r>
        <w:t>4. 检验流程</w:t>
      </w:r>
    </w:p>
    <w:p>
      <w:pPr>
        <w:pStyle w:val="ListBullet"/>
      </w:pPr>
      <w:r>
        <w:t>核对送货单与采购订单</w:t>
      </w:r>
    </w:p>
    <w:p>
      <w:pPr>
        <w:pStyle w:val="ListBullet"/>
      </w:pPr>
      <w:r>
        <w:t>检查包装和标识完整性</w:t>
      </w:r>
    </w:p>
    <w:p>
      <w:pPr>
        <w:pStyle w:val="ListBullet"/>
      </w:pPr>
      <w:r>
        <w:t>按抽样计划取样（GB/T 2828.1）</w:t>
      </w:r>
    </w:p>
    <w:p>
      <w:pPr>
        <w:pStyle w:val="ListBullet"/>
      </w:pPr>
      <w:r>
        <w:t>进行尺寸、外观、性能检验</w:t>
      </w:r>
    </w:p>
    <w:p>
      <w:pPr>
        <w:pStyle w:val="ListBullet"/>
      </w:pPr>
      <w:r>
        <w:t>记录检验结果</w:t>
      </w:r>
    </w:p>
    <w:p>
      <w:pPr>
        <w:pStyle w:val="ListBullet"/>
      </w:pPr>
      <w:r>
        <w:t>判定合格与否</w:t>
      </w:r>
    </w:p>
    <w:p>
      <w:pPr>
        <w:pStyle w:val="ListBullet"/>
      </w:pPr>
      <w:r>
        <w:t>贴检验状态标识</w:t>
      </w:r>
    </w:p>
    <w:p/>
    <w:p>
      <w:pPr>
        <w:pStyle w:val="Heading1"/>
      </w:pPr>
      <w:r>
        <w:t>5. 抽样方案</w:t>
      </w:r>
    </w:p>
    <w:p>
      <w:r>
        <w:t>正常检验一次抽样方案，一般检验水平 II，AQL 值：致命缺陷 0，严重缺陷 0.65，轻微缺陷 1.0。</w:t>
      </w:r>
    </w:p>
    <w:p/>
    <w:p>
      <w:pPr>
        <w:pStyle w:val="Heading1"/>
      </w:pPr>
      <w:r>
        <w:t>6. 检验项目</w:t>
      </w:r>
    </w:p>
    <w:p>
      <w:pPr>
        <w:pStyle w:val="ListBullet"/>
      </w:pPr>
      <w:r>
        <w:t>外观：无划伤、变形、锈蚀</w:t>
      </w:r>
    </w:p>
    <w:p>
      <w:pPr>
        <w:pStyle w:val="ListBullet"/>
      </w:pPr>
      <w:r>
        <w:t>尺寸：按图纸要求</w:t>
      </w:r>
    </w:p>
    <w:p>
      <w:pPr>
        <w:pStyle w:val="ListBullet"/>
      </w:pPr>
      <w:r>
        <w:t>材质：材质报告核对</w:t>
      </w:r>
    </w:p>
    <w:p>
      <w:pPr>
        <w:pStyle w:val="ListBullet"/>
      </w:pPr>
      <w:r>
        <w:t>性能：硬度、强度等</w:t>
      </w:r>
    </w:p>
    <w:p/>
    <w:p>
      <w:pPr>
        <w:pStyle w:val="Heading1"/>
      </w:pPr>
      <w:r>
        <w:t>7. 不合格处理</w:t>
      </w:r>
    </w:p>
    <w:p>
      <w:r>
        <w:t>不合格品隔离存放，贴红色不合格标签，填写《不合格品报告》，通知采购部处理。</w:t>
      </w:r>
    </w:p>
    <w:p/>
    <w:p>
      <w:pPr>
        <w:pStyle w:val="Heading1"/>
      </w:pPr>
      <w:r>
        <w:t>8. 记录</w:t>
      </w:r>
    </w:p>
    <w:p>
      <w:r>
        <w:t>填写《进货检验记录》（FM-094）。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